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ECBC5" w14:textId="51C9066B" w:rsidR="00EA7DAA" w:rsidRDefault="00EA7DAA" w:rsidP="00EA7DAA">
      <w:pPr>
        <w:pStyle w:val="Heading1"/>
        <w:jc w:val="center"/>
      </w:pPr>
      <w:bookmarkStart w:id="0" w:name="_Toc535418677"/>
      <w:r>
        <w:t>Procurement Dispute and Protest</w:t>
      </w:r>
    </w:p>
    <w:p w14:paraId="5BA6430F" w14:textId="5EAE4A12" w:rsidR="00EA7DAA" w:rsidRDefault="00EA7DAA" w:rsidP="00B4422E">
      <w:pPr>
        <w:pStyle w:val="Heading1"/>
        <w:numPr>
          <w:ilvl w:val="0"/>
          <w:numId w:val="11"/>
        </w:numPr>
        <w:ind w:left="450"/>
        <w:jc w:val="both"/>
      </w:pPr>
      <w:r>
        <w:t>Policy</w:t>
      </w:r>
    </w:p>
    <w:p w14:paraId="5D93492F" w14:textId="77777777" w:rsidR="00B4422E" w:rsidRDefault="00B4422E" w:rsidP="00B4422E">
      <w:pPr>
        <w:jc w:val="both"/>
      </w:pPr>
      <w:bookmarkStart w:id="1" w:name="_GoBack"/>
      <w:bookmarkEnd w:id="1"/>
    </w:p>
    <w:p w14:paraId="5F5C89CD" w14:textId="0E90A193" w:rsidR="00EA7DAA" w:rsidRPr="00EA7DAA" w:rsidRDefault="00EA7DAA" w:rsidP="00B4422E">
      <w:pPr>
        <w:jc w:val="both"/>
      </w:pPr>
      <w:r>
        <w:t>It is the policy of South Florida Behavioral Health Network (SFBHN) that all disputes and protests are handled in an open, fair and transparent manner. Nothing in this or other SFBHN policies shall be construed to mean that SFBHN is an agency or entity subject to Chapter 120, Florida Statutes.</w:t>
      </w:r>
    </w:p>
    <w:p w14:paraId="0849CB47" w14:textId="1208166C" w:rsidR="00EA7DAA" w:rsidRPr="00EA7DAA" w:rsidRDefault="00EA7DAA" w:rsidP="00B4422E">
      <w:pPr>
        <w:pStyle w:val="Heading1"/>
        <w:numPr>
          <w:ilvl w:val="0"/>
          <w:numId w:val="11"/>
        </w:numPr>
        <w:ind w:left="450"/>
        <w:jc w:val="both"/>
      </w:pPr>
      <w:r>
        <w:t>Purpose</w:t>
      </w:r>
    </w:p>
    <w:bookmarkEnd w:id="0"/>
    <w:p w14:paraId="54D7AF9D" w14:textId="7795FD9B" w:rsidR="0006609B" w:rsidRPr="00B4422E" w:rsidRDefault="0006609B" w:rsidP="00B4422E">
      <w:pPr>
        <w:jc w:val="both"/>
        <w:rPr>
          <w:iCs/>
        </w:rPr>
      </w:pPr>
      <w:r w:rsidRPr="00B4422E">
        <w:rPr>
          <w:iCs/>
        </w:rPr>
        <w:t>Th</w:t>
      </w:r>
      <w:r w:rsidR="00EA7DAA" w:rsidRPr="00B4422E">
        <w:rPr>
          <w:iCs/>
        </w:rPr>
        <w:t xml:space="preserve">e purpose of </w:t>
      </w:r>
      <w:r w:rsidR="00B4422E" w:rsidRPr="00B4422E">
        <w:rPr>
          <w:iCs/>
        </w:rPr>
        <w:t>this policy</w:t>
      </w:r>
      <w:r w:rsidRPr="00B4422E">
        <w:rPr>
          <w:iCs/>
        </w:rPr>
        <w:t xml:space="preserve"> </w:t>
      </w:r>
      <w:r w:rsidR="00EA7DAA" w:rsidRPr="00B4422E">
        <w:rPr>
          <w:iCs/>
        </w:rPr>
        <w:t xml:space="preserve">is to outline the procedures to be used to settle all disputes and protests. </w:t>
      </w:r>
    </w:p>
    <w:p w14:paraId="1BE509CD" w14:textId="64A2CF9E" w:rsidR="009F70DA" w:rsidRPr="009F70DA" w:rsidRDefault="009F70DA" w:rsidP="00B4422E">
      <w:pPr>
        <w:pStyle w:val="Heading1"/>
        <w:jc w:val="both"/>
      </w:pPr>
      <w:bookmarkStart w:id="2" w:name="_Toc535418678"/>
      <w:r>
        <w:t>Procedure</w:t>
      </w:r>
    </w:p>
    <w:p w14:paraId="7179027C" w14:textId="3CB5B140" w:rsidR="0006609B" w:rsidRDefault="0006609B" w:rsidP="00B4422E">
      <w:pPr>
        <w:pStyle w:val="Heading1"/>
        <w:numPr>
          <w:ilvl w:val="0"/>
          <w:numId w:val="11"/>
        </w:numPr>
        <w:ind w:left="450"/>
        <w:jc w:val="both"/>
        <w:rPr>
          <w:u w:val="single"/>
        </w:rPr>
      </w:pPr>
      <w:r w:rsidRPr="00B4422E">
        <w:t>Issues</w:t>
      </w:r>
      <w:r w:rsidRPr="009577E4">
        <w:rPr>
          <w:u w:val="single"/>
        </w:rPr>
        <w:t xml:space="preserve"> Causing Protest</w:t>
      </w:r>
      <w:bookmarkEnd w:id="2"/>
    </w:p>
    <w:p w14:paraId="4A6130D4" w14:textId="77777777" w:rsidR="0006609B" w:rsidRPr="009577E4" w:rsidRDefault="0006609B" w:rsidP="00B4422E">
      <w:pPr>
        <w:spacing w:after="0" w:line="240" w:lineRule="auto"/>
        <w:jc w:val="both"/>
      </w:pPr>
    </w:p>
    <w:p w14:paraId="0D9B1082" w14:textId="366ACDAB" w:rsidR="0006609B" w:rsidRPr="007329FB" w:rsidRDefault="00EA7DAA" w:rsidP="00B4422E">
      <w:pPr>
        <w:jc w:val="both"/>
      </w:pPr>
      <w:r>
        <w:t xml:space="preserve">Any </w:t>
      </w:r>
      <w:r w:rsidR="0006609B" w:rsidRPr="007329FB">
        <w:t xml:space="preserve"> person</w:t>
      </w:r>
      <w:r>
        <w:t xml:space="preserve">, vendor, Network Provider (collectively the Protestor) </w:t>
      </w:r>
      <w:r w:rsidR="0006609B" w:rsidRPr="007329FB">
        <w:t xml:space="preserve">who has been adversely affected by a decision or intended decision concerning a solicitation or a notice of contract award may file a written notice of protest with the contact person listed in the solicitation document within 72 hours after the posting of the solicitation or of the notice of </w:t>
      </w:r>
      <w:r w:rsidR="0006609B">
        <w:t xml:space="preserve">SFBHN’s </w:t>
      </w:r>
      <w:r w:rsidR="0006609B" w:rsidRPr="007329FB">
        <w:t>decision or intended decision</w:t>
      </w:r>
      <w:r>
        <w:t xml:space="preserve">. </w:t>
      </w:r>
    </w:p>
    <w:p w14:paraId="10D4F663" w14:textId="77777777" w:rsidR="0006609B" w:rsidRDefault="0006609B" w:rsidP="00B4422E">
      <w:pPr>
        <w:pStyle w:val="Heading1"/>
        <w:numPr>
          <w:ilvl w:val="0"/>
          <w:numId w:val="11"/>
        </w:numPr>
        <w:ind w:left="450"/>
        <w:jc w:val="both"/>
        <w:rPr>
          <w:bCs w:val="0"/>
          <w:u w:val="single"/>
        </w:rPr>
      </w:pPr>
      <w:bookmarkStart w:id="3" w:name="_Toc535418679"/>
      <w:r w:rsidRPr="009577E4">
        <w:rPr>
          <w:bCs w:val="0"/>
          <w:u w:val="single"/>
        </w:rPr>
        <w:t>Filing the Protest</w:t>
      </w:r>
      <w:bookmarkEnd w:id="3"/>
    </w:p>
    <w:p w14:paraId="54FCFF6B" w14:textId="77777777" w:rsidR="0006609B" w:rsidRPr="009577E4" w:rsidRDefault="0006609B" w:rsidP="00B4422E">
      <w:pPr>
        <w:spacing w:after="0" w:line="240" w:lineRule="auto"/>
        <w:jc w:val="both"/>
      </w:pPr>
    </w:p>
    <w:p w14:paraId="08DF8258" w14:textId="77777777" w:rsidR="0006609B" w:rsidRPr="007329FB" w:rsidRDefault="0006609B" w:rsidP="00B4422E">
      <w:pPr>
        <w:jc w:val="both"/>
      </w:pPr>
      <w:r w:rsidRPr="007329FB">
        <w:t xml:space="preserve">Any person who is adversely affected by the terms, conditions and specifications contained in a solicitation, including any provisions governing the methods for ranking bids, proposals, or replies, awarding contracts, reserving rights of further negotiation, or modifying or amending any contract shall file a notice of protest in writing within 72 hours after the posting of the notice of solicitation or decision or intended decision. When filing the </w:t>
      </w:r>
      <w:proofErr w:type="gramStart"/>
      <w:r w:rsidRPr="007329FB">
        <w:t>protest</w:t>
      </w:r>
      <w:proofErr w:type="gramEnd"/>
      <w:r w:rsidRPr="007329FB">
        <w:t xml:space="preserve"> the following requirements must be adhered to:</w:t>
      </w:r>
    </w:p>
    <w:p w14:paraId="01980E9D" w14:textId="3283EDFE" w:rsidR="0006609B" w:rsidRPr="007329FB" w:rsidRDefault="0006609B" w:rsidP="00B4422E">
      <w:pPr>
        <w:pStyle w:val="ListParagraph"/>
        <w:numPr>
          <w:ilvl w:val="0"/>
          <w:numId w:val="1"/>
        </w:numPr>
        <w:jc w:val="both"/>
      </w:pPr>
      <w:r w:rsidRPr="007329FB">
        <w:t>In the computation of the 72 hour time frame for filing of a protest, Saturday</w:t>
      </w:r>
      <w:r>
        <w:t>’</w:t>
      </w:r>
      <w:r w:rsidRPr="007329FB">
        <w:t>s, Sunday</w:t>
      </w:r>
      <w:r>
        <w:t>’</w:t>
      </w:r>
      <w:r w:rsidRPr="007329FB">
        <w:t xml:space="preserve">s and state holidays are excluded. The </w:t>
      </w:r>
      <w:r>
        <w:t>Procurement M</w:t>
      </w:r>
      <w:r w:rsidRPr="007329FB">
        <w:t xml:space="preserve">anager must </w:t>
      </w:r>
      <w:r w:rsidR="00EA7DAA">
        <w:t>e</w:t>
      </w:r>
      <w:r w:rsidRPr="007329FB">
        <w:t xml:space="preserve">nsure that the date and time of posting are documented in the </w:t>
      </w:r>
      <w:r>
        <w:t>Procurement F</w:t>
      </w:r>
      <w:r w:rsidRPr="007329FB">
        <w:t xml:space="preserve">ile. (Posting on a Monday or Tuesday eliminates the need for a weekend exclusion.) </w:t>
      </w:r>
    </w:p>
    <w:p w14:paraId="417549B1" w14:textId="6A59698E" w:rsidR="0006609B" w:rsidRPr="007329FB" w:rsidRDefault="0006609B" w:rsidP="00B4422E">
      <w:pPr>
        <w:pStyle w:val="ListParagraph"/>
        <w:numPr>
          <w:ilvl w:val="0"/>
          <w:numId w:val="1"/>
        </w:numPr>
        <w:jc w:val="both"/>
      </w:pPr>
      <w:r w:rsidRPr="007329FB">
        <w:lastRenderedPageBreak/>
        <w:t xml:space="preserve">A formal protest must be filed with the contact person listed in the solicitation. The formal protest must be: </w:t>
      </w:r>
    </w:p>
    <w:p w14:paraId="4B98EF08" w14:textId="77777777" w:rsidR="0006609B" w:rsidRPr="007329FB" w:rsidRDefault="0006609B" w:rsidP="00B4422E">
      <w:pPr>
        <w:pStyle w:val="ListParagraph"/>
        <w:numPr>
          <w:ilvl w:val="0"/>
          <w:numId w:val="3"/>
        </w:numPr>
        <w:jc w:val="both"/>
      </w:pPr>
      <w:r w:rsidRPr="007329FB">
        <w:t>In writing; and,</w:t>
      </w:r>
    </w:p>
    <w:p w14:paraId="4516E225" w14:textId="77777777" w:rsidR="0006609B" w:rsidRPr="007329FB" w:rsidRDefault="0006609B" w:rsidP="00B4422E">
      <w:pPr>
        <w:pStyle w:val="ListParagraph"/>
        <w:numPr>
          <w:ilvl w:val="0"/>
          <w:numId w:val="3"/>
        </w:numPr>
        <w:jc w:val="both"/>
      </w:pPr>
      <w:r w:rsidRPr="007329FB">
        <w:t xml:space="preserve">Filed within ten (10) days after filing of the notice of </w:t>
      </w:r>
      <w:r>
        <w:t xml:space="preserve">intent to </w:t>
      </w:r>
      <w:r w:rsidRPr="007329FB">
        <w:t>protest.</w:t>
      </w:r>
    </w:p>
    <w:p w14:paraId="19EE6FEC" w14:textId="77777777" w:rsidR="0006609B" w:rsidRPr="007329FB" w:rsidRDefault="0006609B" w:rsidP="00B4422E">
      <w:pPr>
        <w:pStyle w:val="ListParagraph"/>
        <w:numPr>
          <w:ilvl w:val="0"/>
          <w:numId w:val="6"/>
        </w:numPr>
        <w:ind w:left="1800"/>
        <w:jc w:val="both"/>
      </w:pPr>
      <w:r w:rsidRPr="007329FB">
        <w:t>No time will be added to the above time limits for mail service.</w:t>
      </w:r>
    </w:p>
    <w:p w14:paraId="6B487956" w14:textId="640733E7" w:rsidR="0006609B" w:rsidRPr="007329FB" w:rsidRDefault="0006609B" w:rsidP="00B4422E">
      <w:pPr>
        <w:pStyle w:val="ListParagraph"/>
        <w:numPr>
          <w:ilvl w:val="0"/>
          <w:numId w:val="6"/>
        </w:numPr>
        <w:ind w:left="1800"/>
        <w:jc w:val="both"/>
      </w:pPr>
      <w:r w:rsidRPr="007329FB">
        <w:t>The 10 day period includes Saturdays, Sundays, and state holidays</w:t>
      </w:r>
      <w:r w:rsidR="00EA7DAA">
        <w:t>.</w:t>
      </w:r>
    </w:p>
    <w:p w14:paraId="4F81BE70" w14:textId="41701A6C" w:rsidR="0006609B" w:rsidRPr="007329FB" w:rsidRDefault="0006609B" w:rsidP="00B4422E">
      <w:pPr>
        <w:pStyle w:val="ListParagraph"/>
        <w:numPr>
          <w:ilvl w:val="0"/>
          <w:numId w:val="6"/>
        </w:numPr>
        <w:ind w:left="1800"/>
        <w:jc w:val="both"/>
      </w:pPr>
      <w:r w:rsidRPr="007329FB">
        <w:t>If the last day of the 10 day period is a Saturday, Sunday, or state holiday the period shall run until the end of the next day which is neither a Saturday, Sunday, nor state holiday</w:t>
      </w:r>
      <w:r w:rsidR="00EA7DAA">
        <w:t xml:space="preserve">. </w:t>
      </w:r>
    </w:p>
    <w:p w14:paraId="3F73B9D6" w14:textId="26BAB398" w:rsidR="0006609B" w:rsidRPr="007329FB" w:rsidRDefault="00CE63F6" w:rsidP="00B4422E">
      <w:pPr>
        <w:pStyle w:val="ListParagraph"/>
        <w:numPr>
          <w:ilvl w:val="0"/>
          <w:numId w:val="1"/>
        </w:numPr>
        <w:jc w:val="both"/>
      </w:pPr>
      <w:r>
        <w:t>Presented with the</w:t>
      </w:r>
      <w:r w:rsidR="0006609B" w:rsidRPr="007329FB">
        <w:t xml:space="preserve"> facts and law upon which the protest is based.</w:t>
      </w:r>
    </w:p>
    <w:p w14:paraId="55AD16D7" w14:textId="77777777" w:rsidR="0006609B" w:rsidRPr="007329FB" w:rsidRDefault="0006609B" w:rsidP="00B4422E">
      <w:pPr>
        <w:pStyle w:val="ListParagraph"/>
        <w:numPr>
          <w:ilvl w:val="0"/>
          <w:numId w:val="1"/>
        </w:numPr>
        <w:jc w:val="both"/>
      </w:pPr>
      <w:r w:rsidRPr="007329FB">
        <w:t>Accompanied by a bond payable to SFBHN and deposited in an escrow account.</w:t>
      </w:r>
    </w:p>
    <w:p w14:paraId="6C52169C" w14:textId="77777777" w:rsidR="0006609B" w:rsidRPr="007329FB" w:rsidRDefault="0006609B" w:rsidP="00B4422E">
      <w:pPr>
        <w:pStyle w:val="ListParagraph"/>
        <w:numPr>
          <w:ilvl w:val="0"/>
          <w:numId w:val="7"/>
        </w:numPr>
        <w:jc w:val="both"/>
      </w:pPr>
      <w:r w:rsidRPr="007329FB">
        <w:t>In lieu of a bond, a cashier's check, official bank check, or money order in the amount of the bond may be submitted to the contact person.</w:t>
      </w:r>
    </w:p>
    <w:p w14:paraId="243A5D14" w14:textId="6D2CF797" w:rsidR="0006609B" w:rsidRDefault="0006609B" w:rsidP="00B4422E">
      <w:pPr>
        <w:pStyle w:val="ListParagraph"/>
        <w:numPr>
          <w:ilvl w:val="0"/>
          <w:numId w:val="7"/>
        </w:numPr>
        <w:jc w:val="both"/>
      </w:pPr>
      <w:r w:rsidRPr="007329FB">
        <w:t xml:space="preserve">Failure to file the proper bond at the time of filing the formal protest will result in a denial of the </w:t>
      </w:r>
      <w:r>
        <w:t>protest.</w:t>
      </w:r>
    </w:p>
    <w:p w14:paraId="71235B15" w14:textId="29B7D486" w:rsidR="00CE63F6" w:rsidRPr="00F94150" w:rsidRDefault="00CE63F6" w:rsidP="00B4422E">
      <w:pPr>
        <w:jc w:val="both"/>
      </w:pPr>
      <w:r w:rsidRPr="00CE63F6">
        <w:t>Upon receipt of a timely submitted formal written protest, SFBHN may, but is not required to stop the solicitation or contract award process until the subject of the protest is resolved by final agency action.</w:t>
      </w:r>
    </w:p>
    <w:p w14:paraId="6E118C39" w14:textId="77777777" w:rsidR="0006609B" w:rsidRDefault="0006609B" w:rsidP="00B4422E">
      <w:pPr>
        <w:pStyle w:val="Heading1"/>
        <w:numPr>
          <w:ilvl w:val="0"/>
          <w:numId w:val="11"/>
        </w:numPr>
        <w:ind w:left="450"/>
        <w:jc w:val="both"/>
        <w:rPr>
          <w:u w:val="single"/>
        </w:rPr>
      </w:pPr>
      <w:bookmarkStart w:id="4" w:name="_Toc535418680"/>
      <w:r w:rsidRPr="009577E4">
        <w:rPr>
          <w:u w:val="single"/>
        </w:rPr>
        <w:t>Posting Bond for Protest Filed</w:t>
      </w:r>
      <w:bookmarkEnd w:id="4"/>
    </w:p>
    <w:p w14:paraId="323D5D3F" w14:textId="77777777" w:rsidR="0006609B" w:rsidRPr="009577E4" w:rsidRDefault="0006609B" w:rsidP="00B4422E">
      <w:pPr>
        <w:spacing w:after="0" w:line="240" w:lineRule="auto"/>
        <w:jc w:val="both"/>
      </w:pPr>
    </w:p>
    <w:p w14:paraId="772EFB25" w14:textId="43DCDB18" w:rsidR="0006609B" w:rsidRPr="007329FB" w:rsidRDefault="0006609B" w:rsidP="00B4422E">
      <w:pPr>
        <w:jc w:val="both"/>
      </w:pPr>
      <w:r w:rsidRPr="007329FB">
        <w:t>Any person who files an action protesting a decision or intended decision pertaining to contracts administered by SFBHN on behalf of the department must comply with the following requirements</w:t>
      </w:r>
      <w:r w:rsidR="00CE63F6">
        <w:t>:</w:t>
      </w:r>
      <w:r w:rsidRPr="007329FB">
        <w:t xml:space="preserve"> </w:t>
      </w:r>
    </w:p>
    <w:p w14:paraId="6065C2A9" w14:textId="77777777" w:rsidR="0006609B" w:rsidRPr="00F94150" w:rsidRDefault="0006609B" w:rsidP="00B4422E">
      <w:pPr>
        <w:pStyle w:val="ListParagraph"/>
        <w:numPr>
          <w:ilvl w:val="0"/>
          <w:numId w:val="2"/>
        </w:numPr>
        <w:jc w:val="both"/>
      </w:pPr>
      <w:r w:rsidRPr="00F94150">
        <w:t>When protesting a decision or intended decision the protestor must post a bond equal to one percent (1%) of SFBHN’s estimated contract amount. The estimated contract amount shall</w:t>
      </w:r>
      <w:r>
        <w:t xml:space="preserve"> </w:t>
      </w:r>
      <w:r w:rsidRPr="00F94150">
        <w:t>be based upon the contract price submitted by the protestor. If no contract price was submitted, SFBHN shall estimate the contract amount based on factors including, but not limited to, the</w:t>
      </w:r>
      <w:r>
        <w:t xml:space="preserve"> </w:t>
      </w:r>
      <w:r w:rsidRPr="00F94150">
        <w:t>following:</w:t>
      </w:r>
    </w:p>
    <w:p w14:paraId="3AE9AFED" w14:textId="77777777" w:rsidR="0006609B" w:rsidRPr="00F94150" w:rsidRDefault="0006609B" w:rsidP="00B4422E">
      <w:pPr>
        <w:pStyle w:val="ListParagraph"/>
        <w:numPr>
          <w:ilvl w:val="0"/>
          <w:numId w:val="4"/>
        </w:numPr>
        <w:jc w:val="both"/>
      </w:pPr>
      <w:r w:rsidRPr="00F94150">
        <w:t>The price of previous or existing contracts for similar or contractual services.</w:t>
      </w:r>
    </w:p>
    <w:p w14:paraId="320EEB78" w14:textId="6A9AD1C8" w:rsidR="0006609B" w:rsidRDefault="0006609B" w:rsidP="00B4422E">
      <w:pPr>
        <w:pStyle w:val="ListParagraph"/>
        <w:numPr>
          <w:ilvl w:val="0"/>
          <w:numId w:val="4"/>
        </w:numPr>
        <w:jc w:val="both"/>
      </w:pPr>
      <w:r w:rsidRPr="00F94150">
        <w:t>The amount allocated by the Department for the services to be provided.</w:t>
      </w:r>
    </w:p>
    <w:p w14:paraId="506ED0F4" w14:textId="6A94E99F" w:rsidR="00CE63F6" w:rsidRPr="00F94150" w:rsidRDefault="00CE63F6" w:rsidP="00B4422E">
      <w:pPr>
        <w:pStyle w:val="ListParagraph"/>
        <w:numPr>
          <w:ilvl w:val="0"/>
          <w:numId w:val="4"/>
        </w:numPr>
        <w:jc w:val="both"/>
      </w:pPr>
      <w:r>
        <w:t>The fair market value of similar contractual services.</w:t>
      </w:r>
    </w:p>
    <w:p w14:paraId="604B21A6" w14:textId="5BFCEF87" w:rsidR="00CE63F6" w:rsidRDefault="00CE63F6" w:rsidP="00B4422E">
      <w:pPr>
        <w:pStyle w:val="ListParagraph"/>
        <w:numPr>
          <w:ilvl w:val="0"/>
          <w:numId w:val="2"/>
        </w:numPr>
        <w:jc w:val="both"/>
      </w:pPr>
      <w:r>
        <w:t>The bond is payable to SFBHN at the time of the filing of the formal written protest. Failure to file the bond at the time of filing of the formal written protest will result in a denial of the protest.</w:t>
      </w:r>
    </w:p>
    <w:p w14:paraId="117E063B" w14:textId="232BB021" w:rsidR="00CE63F6" w:rsidRDefault="00CE63F6" w:rsidP="00B4422E">
      <w:pPr>
        <w:pStyle w:val="ListParagraph"/>
        <w:numPr>
          <w:ilvl w:val="0"/>
          <w:numId w:val="2"/>
        </w:numPr>
        <w:jc w:val="both"/>
      </w:pPr>
      <w:r>
        <w:t>SFBHN shall provide the procurement amount to the protestor within 72 hours after the notice of protest has been filed (excluding Saturday’s, Sunday’s and state holiday’s). The procurement amount is not subject to protest.</w:t>
      </w:r>
    </w:p>
    <w:p w14:paraId="1379AB74" w14:textId="47B6DC20" w:rsidR="009F70DA" w:rsidRDefault="00CE63F6" w:rsidP="00B4422E">
      <w:pPr>
        <w:pStyle w:val="ListParagraph"/>
        <w:numPr>
          <w:ilvl w:val="0"/>
          <w:numId w:val="2"/>
        </w:numPr>
        <w:jc w:val="both"/>
      </w:pPr>
      <w:r>
        <w:lastRenderedPageBreak/>
        <w:t>The bond shall be conditioned upon payment of all costs and charges that are adjudged against the protestor in the administrative hearing in which action is brought, an in any subsequent appellate court proceeding.</w:t>
      </w:r>
    </w:p>
    <w:p w14:paraId="52C1896D" w14:textId="18C50614" w:rsidR="009F70DA" w:rsidRDefault="009F70DA" w:rsidP="00B4422E">
      <w:pPr>
        <w:pStyle w:val="Heading1"/>
        <w:numPr>
          <w:ilvl w:val="0"/>
          <w:numId w:val="11"/>
        </w:numPr>
        <w:ind w:left="450"/>
        <w:jc w:val="both"/>
        <w:rPr>
          <w:u w:val="single"/>
        </w:rPr>
      </w:pPr>
      <w:r>
        <w:rPr>
          <w:u w:val="single"/>
        </w:rPr>
        <w:t>Submissions and Burden of Proof</w:t>
      </w:r>
    </w:p>
    <w:p w14:paraId="5986E336" w14:textId="039BA834" w:rsidR="009F70DA" w:rsidRDefault="009F70DA" w:rsidP="00B4422E">
      <w:pPr>
        <w:pStyle w:val="ListParagraph"/>
        <w:numPr>
          <w:ilvl w:val="0"/>
          <w:numId w:val="9"/>
        </w:numPr>
        <w:jc w:val="both"/>
      </w:pPr>
      <w:r>
        <w:t>In a protest to an Invitation to Negotiate procurement, no submissions made after SFBHN announces its intent to award a contract, reject all replies, or withdraw the solicitation which amend or supplement the reply shall be considered.</w:t>
      </w:r>
    </w:p>
    <w:p w14:paraId="05908E50" w14:textId="6DA26BBB" w:rsidR="009F70DA" w:rsidRDefault="009F70DA" w:rsidP="00B4422E">
      <w:pPr>
        <w:pStyle w:val="ListParagraph"/>
        <w:numPr>
          <w:ilvl w:val="0"/>
          <w:numId w:val="9"/>
        </w:numPr>
        <w:jc w:val="both"/>
      </w:pPr>
      <w:r>
        <w:t xml:space="preserve">In a competitive procurement protest, the SFBHN shall provide for a meeting with the Protestor to discuss the protest and receive information that the Protestor wants the SFBHN to consider.  Such a meeting shall not be a hearing. There shall be no testimony or the calling or cross examination of witnesses. </w:t>
      </w:r>
    </w:p>
    <w:p w14:paraId="52FD5D34" w14:textId="3B6746AC" w:rsidR="009F70DA" w:rsidRDefault="009F70DA" w:rsidP="00B4422E">
      <w:pPr>
        <w:pStyle w:val="ListParagraph"/>
        <w:numPr>
          <w:ilvl w:val="0"/>
          <w:numId w:val="9"/>
        </w:numPr>
        <w:jc w:val="both"/>
      </w:pPr>
      <w:r>
        <w:t xml:space="preserve">SFBHN shall make a recommendation regarding the protest to the SFBHN President and CEO. The </w:t>
      </w:r>
      <w:r w:rsidRPr="009F70DA">
        <w:t>SFBHN President and CEO</w:t>
      </w:r>
      <w:r>
        <w:t xml:space="preserve"> may request additional information. The </w:t>
      </w:r>
      <w:r w:rsidRPr="009F70DA">
        <w:t>SFBHN President and CEO</w:t>
      </w:r>
      <w:r>
        <w:t xml:space="preserve"> in conjunction with Executive Committee of the Board shall issue a final decision</w:t>
      </w:r>
    </w:p>
    <w:p w14:paraId="1D29DE81" w14:textId="65276600" w:rsidR="009F70DA" w:rsidRDefault="009F70DA" w:rsidP="00B4422E">
      <w:pPr>
        <w:pStyle w:val="Heading1"/>
        <w:numPr>
          <w:ilvl w:val="0"/>
          <w:numId w:val="11"/>
        </w:numPr>
        <w:ind w:left="450"/>
        <w:jc w:val="both"/>
      </w:pPr>
      <w:r>
        <w:t>Official Hours of Operation for Submission of Pr</w:t>
      </w:r>
      <w:r w:rsidRPr="009F70DA">
        <w:t xml:space="preserve">otest and/or a </w:t>
      </w:r>
      <w:r>
        <w:t>P</w:t>
      </w:r>
      <w:r w:rsidRPr="009F70DA">
        <w:t xml:space="preserve">etition and </w:t>
      </w:r>
      <w:r>
        <w:t>B</w:t>
      </w:r>
      <w:r w:rsidRPr="009F70DA">
        <w:t>ond</w:t>
      </w:r>
    </w:p>
    <w:p w14:paraId="738A31EE" w14:textId="77777777" w:rsidR="009F70DA" w:rsidRDefault="009F70DA" w:rsidP="00B4422E">
      <w:pPr>
        <w:pStyle w:val="ListParagraph"/>
        <w:jc w:val="both"/>
      </w:pPr>
    </w:p>
    <w:p w14:paraId="5AE76FB9" w14:textId="3380E97D" w:rsidR="00CE63F6" w:rsidRDefault="009F70DA" w:rsidP="00B4422E">
      <w:pPr>
        <w:pStyle w:val="ListParagraph"/>
        <w:jc w:val="both"/>
      </w:pPr>
      <w:r w:rsidRPr="009F70DA">
        <w:t>The official hours of operation for receipt of an intent to protest and/or a petition and bond are 8:30 AM to 5:00 PM Eastern Standard Time. Upon receipt of the formal written notice of protest, the contact person must secure the bond until resolution of the protest.</w:t>
      </w:r>
    </w:p>
    <w:p w14:paraId="66F6F99F" w14:textId="77777777" w:rsidR="00AD2107" w:rsidRDefault="00AD2107" w:rsidP="00B4422E">
      <w:pPr>
        <w:jc w:val="both"/>
      </w:pPr>
    </w:p>
    <w:sectPr w:rsidR="00AD21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0FFA0" w14:textId="77777777" w:rsidR="0006609B" w:rsidRDefault="0006609B" w:rsidP="0006609B">
      <w:pPr>
        <w:spacing w:after="0" w:line="240" w:lineRule="auto"/>
      </w:pPr>
      <w:r>
        <w:separator/>
      </w:r>
    </w:p>
  </w:endnote>
  <w:endnote w:type="continuationSeparator" w:id="0">
    <w:p w14:paraId="0B617066" w14:textId="77777777" w:rsidR="0006609B" w:rsidRDefault="0006609B" w:rsidP="0006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92503" w14:textId="77777777" w:rsidR="0006609B" w:rsidRDefault="0006609B" w:rsidP="0006609B">
      <w:pPr>
        <w:spacing w:after="0" w:line="240" w:lineRule="auto"/>
      </w:pPr>
      <w:r>
        <w:separator/>
      </w:r>
    </w:p>
  </w:footnote>
  <w:footnote w:type="continuationSeparator" w:id="0">
    <w:p w14:paraId="5ACEC4E1" w14:textId="77777777" w:rsidR="0006609B" w:rsidRDefault="0006609B" w:rsidP="00066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AA7F" w14:textId="15D98FE1" w:rsidR="0006609B" w:rsidRPr="0006609B" w:rsidRDefault="0006609B" w:rsidP="0006609B">
    <w:pPr>
      <w:pStyle w:val="Header"/>
      <w:jc w:val="center"/>
    </w:pPr>
    <w:r>
      <w:rPr>
        <w:noProof/>
      </w:rPr>
      <w:drawing>
        <wp:inline distT="0" distB="0" distL="0" distR="0" wp14:anchorId="567178B3" wp14:editId="633DC1BC">
          <wp:extent cx="3597676" cy="1093249"/>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48087" cy="11085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3EE"/>
    <w:multiLevelType w:val="hybridMultilevel"/>
    <w:tmpl w:val="361A0452"/>
    <w:lvl w:ilvl="0" w:tplc="37F2B4BE">
      <w:start w:val="1"/>
      <w:numFmt w:val="lowerLetter"/>
      <w:lvlText w:val="(%1)"/>
      <w:lvlJc w:val="left"/>
      <w:pPr>
        <w:ind w:left="1440" w:hanging="360"/>
      </w:pPr>
      <w:rPr>
        <w:rFonts w:asciiTheme="minorHAnsi" w:eastAsia="Arial" w:hAnsiTheme="minorHAnsi" w:cstheme="minorHAnsi" w:hint="default"/>
        <w:b w:val="0"/>
        <w:w w:val="9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83475"/>
    <w:multiLevelType w:val="hybridMultilevel"/>
    <w:tmpl w:val="C3B809F0"/>
    <w:lvl w:ilvl="0" w:tplc="6AA2384A">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B4227"/>
    <w:multiLevelType w:val="hybridMultilevel"/>
    <w:tmpl w:val="27822C56"/>
    <w:lvl w:ilvl="0" w:tplc="3D7A00F2">
      <w:start w:val="1"/>
      <w:numFmt w:val="upp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F2511"/>
    <w:multiLevelType w:val="hybridMultilevel"/>
    <w:tmpl w:val="1D72E6E0"/>
    <w:lvl w:ilvl="0" w:tplc="0409000F">
      <w:start w:val="1"/>
      <w:numFmt w:val="decimal"/>
      <w:lvlText w:val="%1."/>
      <w:lvlJc w:val="left"/>
      <w:pPr>
        <w:ind w:left="720" w:hanging="360"/>
      </w:pPr>
      <w:rPr>
        <w:rFonts w:hint="default"/>
      </w:rPr>
    </w:lvl>
    <w:lvl w:ilvl="1" w:tplc="1EDE6E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17B44"/>
    <w:multiLevelType w:val="hybridMultilevel"/>
    <w:tmpl w:val="C3B809F0"/>
    <w:lvl w:ilvl="0" w:tplc="6AA2384A">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90753"/>
    <w:multiLevelType w:val="hybridMultilevel"/>
    <w:tmpl w:val="C3B809F0"/>
    <w:lvl w:ilvl="0" w:tplc="6AA2384A">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7328D"/>
    <w:multiLevelType w:val="hybridMultilevel"/>
    <w:tmpl w:val="1D72E6E0"/>
    <w:lvl w:ilvl="0" w:tplc="0409000F">
      <w:start w:val="1"/>
      <w:numFmt w:val="decimal"/>
      <w:lvlText w:val="%1."/>
      <w:lvlJc w:val="left"/>
      <w:pPr>
        <w:ind w:left="720" w:hanging="360"/>
      </w:pPr>
      <w:rPr>
        <w:rFonts w:hint="default"/>
      </w:rPr>
    </w:lvl>
    <w:lvl w:ilvl="1" w:tplc="1EDE6E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871F7"/>
    <w:multiLevelType w:val="hybridMultilevel"/>
    <w:tmpl w:val="09649BDC"/>
    <w:lvl w:ilvl="0" w:tplc="BF00E104">
      <w:start w:val="1"/>
      <w:numFmt w:val="lowerLetter"/>
      <w:lvlText w:val="(%1)"/>
      <w:lvlJc w:val="left"/>
      <w:pPr>
        <w:ind w:left="1440" w:hanging="360"/>
      </w:pPr>
      <w:rPr>
        <w:rFonts w:asciiTheme="minorHAnsi" w:eastAsia="Arial" w:hAnsiTheme="minorHAnsi" w:cstheme="minorHAnsi" w:hint="default"/>
        <w:b w:val="0"/>
        <w:w w:val="9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30C40"/>
    <w:multiLevelType w:val="hybridMultilevel"/>
    <w:tmpl w:val="93AA561A"/>
    <w:lvl w:ilvl="0" w:tplc="3D7A00F2">
      <w:start w:val="1"/>
      <w:numFmt w:val="upp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0399F"/>
    <w:multiLevelType w:val="hybridMultilevel"/>
    <w:tmpl w:val="6AB071C6"/>
    <w:lvl w:ilvl="0" w:tplc="3D7A00F2">
      <w:start w:val="1"/>
      <w:numFmt w:val="upp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64A12"/>
    <w:multiLevelType w:val="hybridMultilevel"/>
    <w:tmpl w:val="C6F2A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5"/>
  </w:num>
  <w:num w:numId="6">
    <w:abstractNumId w:val="7"/>
  </w:num>
  <w:num w:numId="7">
    <w:abstractNumId w:val="0"/>
  </w:num>
  <w:num w:numId="8">
    <w:abstractNumId w:val="2"/>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9B"/>
    <w:rsid w:val="0006609B"/>
    <w:rsid w:val="009F70DA"/>
    <w:rsid w:val="00AD2107"/>
    <w:rsid w:val="00B4422E"/>
    <w:rsid w:val="00CE63F6"/>
    <w:rsid w:val="00EA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6B0AC"/>
  <w15:chartTrackingRefBased/>
  <w15:docId w15:val="{D1BBC18D-CA96-4302-A952-D9745FCB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09B"/>
    <w:pPr>
      <w:spacing w:after="200" w:line="276" w:lineRule="auto"/>
    </w:pPr>
  </w:style>
  <w:style w:type="paragraph" w:styleId="Heading1">
    <w:name w:val="heading 1"/>
    <w:basedOn w:val="Normal"/>
    <w:next w:val="Normal"/>
    <w:link w:val="Heading1Char"/>
    <w:uiPriority w:val="1"/>
    <w:qFormat/>
    <w:rsid w:val="0006609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6609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609B"/>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6609B"/>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1"/>
    <w:qFormat/>
    <w:rsid w:val="0006609B"/>
    <w:pPr>
      <w:ind w:left="720"/>
      <w:contextualSpacing/>
    </w:pPr>
  </w:style>
  <w:style w:type="paragraph" w:styleId="Header">
    <w:name w:val="header"/>
    <w:basedOn w:val="Normal"/>
    <w:link w:val="HeaderChar"/>
    <w:uiPriority w:val="99"/>
    <w:unhideWhenUsed/>
    <w:rsid w:val="00066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09B"/>
  </w:style>
  <w:style w:type="paragraph" w:styleId="Footer">
    <w:name w:val="footer"/>
    <w:basedOn w:val="Normal"/>
    <w:link w:val="FooterChar"/>
    <w:uiPriority w:val="99"/>
    <w:unhideWhenUsed/>
    <w:rsid w:val="00066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09B"/>
  </w:style>
  <w:style w:type="paragraph" w:styleId="BalloonText">
    <w:name w:val="Balloon Text"/>
    <w:basedOn w:val="Normal"/>
    <w:link w:val="BalloonTextChar"/>
    <w:uiPriority w:val="99"/>
    <w:semiHidden/>
    <w:unhideWhenUsed/>
    <w:rsid w:val="00EA7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1705D-C786-44D6-A72D-2250B0EA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Rodriguez</dc:creator>
  <cp:keywords/>
  <dc:description/>
  <cp:lastModifiedBy>Jessica Rodriguez</cp:lastModifiedBy>
  <cp:revision>2</cp:revision>
  <dcterms:created xsi:type="dcterms:W3CDTF">2021-01-11T22:47:00Z</dcterms:created>
  <dcterms:modified xsi:type="dcterms:W3CDTF">2021-01-11T23:36:00Z</dcterms:modified>
</cp:coreProperties>
</file>